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bookmarkStart w:id="0" w:name="_GoBack"/>
      <w:bookmarkEnd w:id="0"/>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附件1：</w:t>
      </w:r>
    </w:p>
    <w:p>
      <w:pPr>
        <w:jc w:val="center"/>
        <w:rPr>
          <w:rFonts w:hint="eastAsia" w:ascii="黑体" w:hAnsi="黑体" w:eastAsia="黑体" w:cs="黑体"/>
          <w:b w:val="0"/>
          <w:bCs w:val="0"/>
          <w:color w:val="auto"/>
          <w:sz w:val="32"/>
          <w:szCs w:val="40"/>
          <w:lang w:val="en-US" w:eastAsia="zh-CN"/>
        </w:rPr>
      </w:pPr>
      <w:r>
        <w:rPr>
          <w:rFonts w:hint="eastAsia" w:ascii="黑体" w:hAnsi="黑体" w:eastAsia="黑体" w:cs="黑体"/>
          <w:b w:val="0"/>
          <w:bCs w:val="0"/>
          <w:color w:val="auto"/>
          <w:sz w:val="32"/>
          <w:szCs w:val="40"/>
          <w:lang w:val="en-US" w:eastAsia="zh-CN"/>
        </w:rPr>
        <w:t>设计方向参考</w:t>
      </w:r>
    </w:p>
    <w:p>
      <w:pPr>
        <w:spacing w:line="600" w:lineRule="exact"/>
        <w:rPr>
          <w:rFonts w:hint="default" w:ascii="Times New Roman" w:hAnsi="Times New Roman" w:eastAsia="仿宋_GB2312" w:cs="仿宋_GB2312"/>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t>（一）钟鸣鼎食·和合之家系列</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唐武德四年（公元621年），台州始设，州治临海。五代吴越王朝，临海成为其经略之地，宋氏南渡后，临海成为了钱氏家族的主要聚居地。钱氏一族不仅在临海创造了辉煌业绩，也留下了大量珍贵的文化遗产。“钱氏三宝”之一的金书铁券（现藏中国国家博物馆），就是钱氏家族南迁时带到临海的，此后，这块金书铁券在临海度过了近八百年的时光。它是唐昭宗对钱氏先祖钱镠的特别褒奖，也是钱氏先祖镇压叛乱、维护东南一方安宁最鲜明的印证。馆藏钱氏大铜瓶，是当年秦鲁国大长公主下嫁钱氏后人钱景臻时的随嫁之物，瓶纹有蝉翼回纹、双螭纹以及麟凤等图案，铜瓶虽只是生活中常用的器具，但仅从纹饰上就可窥见当时贵族对生活品质的追求和对美好生活的憧憬。宋时，不仅迎来钱氏王族后裔的聚居发展，临海还涌现出任右丞相的谢深甫、理宗皇后谢道清以及众宰辅，本地望族谢氏家族的兴起，也将临海的全面发展推向高潮。</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br w:type="textWrapping"/>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时移事易，昔日望族华贵奢侈的生活图景不能重现，而得益于丰厚的珍贵文物，我们却能重构历史想象，通过还原和创造，将悠久的历史文化同现代化流行元素进行有机结合，创造出既具历史性又符合当下潮流趋势的文化衍生品，让大众能在潜移默化中受到文化的熏陶，同时感受前人高品质的生活。</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此系列设计可以从馆藏器物的纹饰、器型等方面入手，设计方向为日用产品，包括高端定制日用品、礼仪用品、婚庆用品等。</w:t>
      </w:r>
    </w:p>
    <w:p>
      <w:pPr>
        <w:spacing w:line="600" w:lineRule="exact"/>
        <w:rPr>
          <w:rFonts w:hint="default" w:ascii="Times New Roman" w:hAnsi="Times New Roman" w:eastAsia="仿宋_GB2312" w:cs="仿宋_GB2312"/>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t>（二）东南邹鲁·风雅丹丘系列</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崇德尚文风气，临海历来有之，自唐广文馆郑虔博士始开教化之风，临海人文一脉薪火相传、才人辈出，弦诵之声不绝于耳。无论是在经济高度发展的宋代还是在磨砺中寻求发展的元明清时期，文教的繁荣自始至末都占据了临海全面发展的重要一隅。历史上，临海曾有“文武五状元”、“金氏四进士”、“秦门五进士”和“王氏一门五进士，一家三巡抚”等盛况，素有“小邹鲁”和“文化之邦”的美誉。                                       </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紫阳真人张伯端，自幼博览三教经书，涉猎数种方术，生平穷研内丹，创立了道教南宗内丹派，其所著《悟真篇》被后世奉为“丹法正宗祖经”，誉为“修丹之金科，养生之玉律”。《西游记》作者吴承恩也对他青睐有加，在《西游记》中，引用张伯端的诗多达六首，还把他从宋代塑造到了唐代。清雍正间，世宗皇帝还敕封张伯端“大慈圆通禅仙紫阳真人”号，并亲撰《道观碑文》，命工部主事来临海，于其故居建造“紫阳道观”。此外，临海最著名的商业街紫阳街也正是因为街侧有张伯端故居而得名。</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此系列设计可从文教与道教兴盛始末、乡贤先达之故事和馆藏书画元素中着手，以体现台学文脉流徽，让高层次文化精神延续。设计方向为文房用品、学习用具、家庭陈设摆件等。</w:t>
      </w:r>
    </w:p>
    <w:p>
      <w:pPr>
        <w:spacing w:line="600" w:lineRule="exact"/>
        <w:rPr>
          <w:rFonts w:hint="default" w:ascii="Times New Roman" w:hAnsi="Times New Roman" w:eastAsia="仿宋_GB2312" w:cs="仿宋_GB2312"/>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t>（三）铮铮硬气·江南长城系列</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王士性曾言：“两浙十一郡城池，唯吾台最据险”。他认为地理环境对人的性格形成产生一定影响，得天独厚的山水条件养育了一方具有硬气、坚韧的台州人；鲁迅先生曾在纪念“左联”五烈士的著名散文《为了忘却的纪念》中，将柔石与方孝孺相提并论为“台州式硬气”。硬气，自古有之。明朝时期，戚继光凭借“封侯非我意，但愿海波平”的决心和卓绝的智慧谋略横扫倭寇，使临海彻底摆脱倭寇侵扰；明燕王朱棣破南京，建文帝朱允炆焚宫自尽，东湖樵夫听闻建文殉国之讯，悲恸大哭，投湖而死；方孝孺宁为社稷而死，也不愿为发动“靖难之役”的燕王朱棣草拟即位诏书，被朱棣灭十族；明灭亡后，陈函辉追随鲁王朱以海投身反清事业，事败，自缢而死。这些先人用行动对“台州式硬气”作了最好的诠释。再看台州府城墙伫立千年，让城内民众不受洪水肆虐，不被远敌侵犯，也为“台州式硬气”写下最佳注解。</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此系列设计可与台州府城墙、戚继光抗倭事迹相结合，由山水形胜见硬朗风骨，继承和发扬“台州式硬气”，设计方向不限。</w:t>
      </w:r>
    </w:p>
    <w:p>
      <w:pPr>
        <w:spacing w:line="600" w:lineRule="exact"/>
        <w:rPr>
          <w:rFonts w:hint="default" w:ascii="Times New Roman" w:hAnsi="Times New Roman" w:eastAsia="仿宋_GB2312" w:cs="仿宋_GB2312"/>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t>（四）千年古城·百味江南系列</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民以食为天，无论朝代如何更替，社会经济如何发展，各式各样的美食总是会被人们所记录并代代相传。譬如“灵江风月酒”，北宋时期，民间有用陈婆岙水酿酒，宋嘉定（1208-1224）年间官府亦仿之，酿成的酒名为“江风月名郡酒”。因所取水极清，故酒又名之为“灵江风月”，在全国享有盛誉。再如糟羹，《三门县志》中记载，明代戚继光抗倭时期，恰逢正月十四那天，戚家军被敌人围追，躲到了三门仙人洞里，当地的农民为了给戚家军果腹，东拼萝卜西拼菜煮的菜羹，没想到士兵们不但吃得很饱，还都说味道很好。后来为了纪念戚家军抗倭胜利，就保留了十四夜吃糟羹的习俗。</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据《民国临海县志》等书所载，临海仅小吃便多达百余种，仅以岁时风物、月节食物为记，便可达一半，元宵食糟羹、清明食青团、四月初八食乌饭麻糍、重阳食重阳糕、冬至食擂圆等，加之光饼、灵江风月酒、蛋清羊尾等古今美食，结合历史传说，食之更有一番风味。</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此系列设计结合临海风物、传统习俗，设计方向为便捷携带的食品、旅游伴手礼、包装等，让游客寄情山水之余，也可把茶叶、名酒及本土的美食风物带回家。</w:t>
      </w:r>
    </w:p>
    <w:p>
      <w:pPr>
        <w:spacing w:line="600" w:lineRule="exact"/>
        <w:rPr>
          <w:rFonts w:hint="default" w:ascii="Times New Roman" w:hAnsi="Times New Roman" w:eastAsia="仿宋_GB2312" w:cs="仿宋_GB2312"/>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t>（五）湖山寻梦·几度乡愁系列</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自南北朝谢灵运“伐木开径”游临海，唐诗之路上，有郑虔、骆宾王、顾况等来往的诗人，更有李白、杜甫等名家来往的诗稿与诗札，再至朱熹、戚继光、康有为、朱自清等历代名人往还，其人其事，台州府城史迹仍可寻觅。</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湖山寻梦，念兹在兹。数千年前，临海从东湖畔崛起，今天，新世纪的发展规划在灵湖边铺陈，开启千年古城的新征程。五峰山下，灵湖之畔，绿树红英烂漫。堤岸垂柳，轻抚湖滨长廊，串起了观景、漫步、晨练、垂钓等休闲活动的主要场所；湖心琼岛，点缀清秀湖山，月出皎兮，轻倚楼阁，亦或漫步院中，皆有一番意趣。</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此系列设计结合东湖、灵湖、台州府城墙等临海山水名胜、文保单位，也可结合唐诗之路、台州茶会等内涵丰富的名事名迹。设计方向为系列手办、茶具、服饰、紫藤主题文房用品/日用品等。</w:t>
      </w:r>
    </w:p>
    <w:p>
      <w:pPr>
        <w:spacing w:line="600" w:lineRule="exact"/>
        <w:rPr>
          <w:rFonts w:hint="default" w:ascii="Times New Roman" w:hAnsi="Times New Roman" w:eastAsia="仿宋_GB2312" w:cs="仿宋_GB2312"/>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t>（六）神工大匠·营造之乐系列</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临海是古建之乡，历史上留下了诸多极具智慧和高超技术的古建筑，如台州府城墙的双层空心敌台、弧形马面等构造；千佛塔与千佛井；东湖三层木质结构的湖心亭与立于水中的半勾亭；江下街民居等，充分体现了古人的巧思和智慧，是建筑学上值得一提的佳作，其营造工艺在建筑史上具有较高的研究价值。</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近年来，临海人在各地筑造、修复古建筑，在全国乃至东南亚都有较高的声誉，如国内著名的宁波天童寺、阿育王寺、保国寺；湖州飞英塔；杭州文澜阁；北京清华大学工字厅建筑群；广州红楼等，还有尼泊尔的中华寺、马来西亚的张弼士府邸等。</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能工巧匠们在传承中精益求精，在发扬中不断创新，才让古老的技艺在时间的打磨中历久弥新。这些具有建筑之美、构造之美、设计之美的古建筑不仅是构成建筑史的必要元素，更是传承优秀传统文化鲜明的例证。</w:t>
      </w:r>
    </w:p>
    <w:p>
      <w:pPr>
        <w:spacing w:line="600" w:lineRule="exact"/>
        <w:ind w:firstLine="640" w:firstLineChars="200"/>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此系列设计可与临海市古建筑的设计元素、营造技法（如榫卯结构、雕刻技术等）相结合，设计方向为玩具、家具、装饰摆件等，让古法技艺通过文创的载体传入寻常百姓家，让大众走进传统“智”造，感受手工技艺的巧妙。</w:t>
      </w:r>
    </w:p>
    <w:p>
      <w:pPr>
        <w:spacing w:line="600" w:lineRule="exact"/>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b/>
          <w:bCs/>
          <w:color w:val="000000" w:themeColor="text1"/>
          <w:sz w:val="32"/>
          <w:szCs w:val="32"/>
          <w:lang w:val="en-US" w:eastAsia="zh-CN"/>
          <w14:textFill>
            <w14:solidFill>
              <w14:schemeClr w14:val="tx1"/>
            </w14:solidFill>
          </w14:textFill>
        </w:rPr>
        <w:t>（七）新时代文明实践等其他主题</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与临海市历史文化、新时代文明实践相关，其间联系言之有理即可。</w:t>
      </w: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p>
    <w:p>
      <w:pPr>
        <w:spacing w:line="600" w:lineRule="exact"/>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DA437B"/>
    <w:rsid w:val="00E93ADA"/>
    <w:rsid w:val="15CA2D20"/>
    <w:rsid w:val="1EDA437B"/>
    <w:rsid w:val="32480E11"/>
    <w:rsid w:val="35184813"/>
    <w:rsid w:val="37B73E7F"/>
    <w:rsid w:val="7E940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2020-06-08T08:50:00Z</dcterms:created>
  <dc:creator>Boomshakalaka</dc:creator>
  <cp:lastModifiedBy>Boomshakalaka</cp:lastModifiedBy>
  <dcterms:modified xsi:type="dcterms:W3CDTF">2020-06-17T06:31:47Z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